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0EC75" w14:textId="77777777" w:rsidR="00EF5FEA" w:rsidRDefault="00062433" w:rsidP="00062433">
      <w:pPr>
        <w:spacing w:after="120" w:line="240" w:lineRule="auto"/>
        <w:ind w:left="-5" w:firstLine="0"/>
        <w:contextualSpacing/>
        <w:rPr>
          <w:rFonts w:ascii="Calibri" w:eastAsia="Calibri" w:hAnsi="Calibri" w:cs="Calibri"/>
          <w:b/>
        </w:rPr>
      </w:pPr>
      <w:r>
        <w:rPr>
          <w:rFonts w:ascii="Calibri" w:eastAsia="Calibri" w:hAnsi="Calibri" w:cs="Calibri"/>
          <w:b/>
        </w:rPr>
        <w:t>Acceso (acceso.ku.edu)</w:t>
      </w:r>
    </w:p>
    <w:p w14:paraId="01CC4DED" w14:textId="41AC7359" w:rsidR="00EF5FEA" w:rsidRDefault="00062433" w:rsidP="00062433">
      <w:pPr>
        <w:spacing w:after="120" w:line="240" w:lineRule="auto"/>
        <w:ind w:left="-5" w:firstLine="0"/>
        <w:contextualSpacing/>
        <w:rPr>
          <w:rFonts w:ascii="Calibri" w:eastAsia="Calibri" w:hAnsi="Calibri" w:cs="Calibri"/>
        </w:rPr>
      </w:pPr>
      <w:r>
        <w:rPr>
          <w:rFonts w:ascii="Calibri" w:eastAsia="Calibri" w:hAnsi="Calibri" w:cs="Calibri"/>
        </w:rPr>
        <w:t>Unidad 7, Sucesos</w:t>
      </w:r>
    </w:p>
    <w:p w14:paraId="15D635AC" w14:textId="6FB303FA" w:rsidR="00EF5FEA" w:rsidRDefault="00062433" w:rsidP="00062433">
      <w:pPr>
        <w:spacing w:after="120" w:line="240" w:lineRule="auto"/>
        <w:ind w:left="0" w:firstLine="0"/>
        <w:contextualSpacing/>
        <w:rPr>
          <w:rFonts w:ascii="Calibri" w:eastAsia="Calibri" w:hAnsi="Calibri" w:cs="Calibri"/>
        </w:rPr>
      </w:pPr>
      <w:r>
        <w:rPr>
          <w:rFonts w:ascii="Calibri" w:eastAsia="Calibri" w:hAnsi="Calibri" w:cs="Calibri"/>
        </w:rPr>
        <w:t>Las culturas andinas prehispánicas</w:t>
      </w:r>
    </w:p>
    <w:p w14:paraId="55D5C048" w14:textId="2D65D050" w:rsidR="00EF5FEA" w:rsidRDefault="00062433" w:rsidP="00062433">
      <w:pPr>
        <w:spacing w:after="120" w:line="240" w:lineRule="auto"/>
        <w:ind w:left="0"/>
        <w:contextualSpacing/>
        <w:rPr>
          <w:rFonts w:ascii="Calibri" w:eastAsia="Calibri" w:hAnsi="Calibri" w:cs="Calibri"/>
        </w:rPr>
      </w:pPr>
      <w:r>
        <w:rPr>
          <w:rFonts w:ascii="Calibri" w:eastAsia="Calibri" w:hAnsi="Calibri" w:cs="Calibri"/>
        </w:rPr>
        <w:t>Perú: Las figuras de Nazca</w:t>
      </w:r>
    </w:p>
    <w:p w14:paraId="35F55691" w14:textId="77777777" w:rsidR="00062433" w:rsidRDefault="00062433" w:rsidP="00062433">
      <w:pPr>
        <w:spacing w:after="120" w:line="240" w:lineRule="auto"/>
        <w:ind w:left="0"/>
        <w:contextualSpacing/>
        <w:rPr>
          <w:rFonts w:ascii="Calibri" w:eastAsia="Calibri" w:hAnsi="Calibri" w:cs="Calibri"/>
        </w:rPr>
      </w:pPr>
    </w:p>
    <w:p w14:paraId="043E6EDD" w14:textId="2006D9C9" w:rsidR="00EF5FEA" w:rsidRDefault="00062433" w:rsidP="00062433">
      <w:pPr>
        <w:spacing w:after="120" w:line="240" w:lineRule="auto"/>
        <w:ind w:left="0"/>
        <w:contextualSpacing/>
        <w:rPr>
          <w:rFonts w:ascii="Calibri" w:eastAsia="Calibri" w:hAnsi="Calibri" w:cs="Calibri"/>
        </w:rPr>
      </w:pPr>
      <w:r>
        <w:rPr>
          <w:rFonts w:ascii="Calibri" w:eastAsia="Calibri" w:hAnsi="Calibri" w:cs="Calibri"/>
        </w:rPr>
        <w:t>Uno de los grandes misterios de la civilización Nazca, que se desarrolló en la costa sur del área central peruana durante el periodo Clásico, entre el 200 y 600 después de Cristo, son las gigantescas líneas ubicadas en la pampa de Ingenio, entre las poblac</w:t>
      </w:r>
      <w:r>
        <w:rPr>
          <w:rFonts w:ascii="Calibri" w:eastAsia="Calibri" w:hAnsi="Calibri" w:cs="Calibri"/>
        </w:rPr>
        <w:t xml:space="preserve">iones de Nazca y Palpa. </w:t>
      </w:r>
      <w:r>
        <w:rPr>
          <w:rFonts w:ascii="Calibri" w:eastAsia="Calibri" w:hAnsi="Calibri" w:cs="Calibri"/>
        </w:rPr>
        <w:t>Estudiadas principalmente por la arqueóloga María Reiche, se trata de geoglifos realizados en una escala enorme, fabricados mediante el movimiento de piedras en el desierto para dejar al descubierto el suelo, que no habiendo sufrido</w:t>
      </w:r>
      <w:r>
        <w:rPr>
          <w:rFonts w:ascii="Calibri" w:eastAsia="Calibri" w:hAnsi="Calibri" w:cs="Calibri"/>
        </w:rPr>
        <w:t xml:space="preserve"> ni erosión ni desgaste durante millones de años, tiene una coloración diferente. Con este sistema, los pobladores de la región diseñaron dibujos perfectamente rectilíneos con kilómetros de longitud, líneas en zigzag, espirales y muchas otras formas geomét</w:t>
      </w:r>
      <w:r>
        <w:rPr>
          <w:rFonts w:ascii="Calibri" w:eastAsia="Calibri" w:hAnsi="Calibri" w:cs="Calibri"/>
        </w:rPr>
        <w:t xml:space="preserve">ricas. En ocasiones plasmaron sobre el terreno figuras de animales y vegetales como pájaros, peces, una araña, un mono, etc. </w:t>
      </w:r>
    </w:p>
    <w:p w14:paraId="41DDB715" w14:textId="77777777" w:rsidR="00062433" w:rsidRDefault="00062433" w:rsidP="00062433">
      <w:pPr>
        <w:spacing w:after="120" w:line="240" w:lineRule="auto"/>
        <w:ind w:left="0"/>
        <w:contextualSpacing/>
        <w:rPr>
          <w:rFonts w:ascii="Calibri" w:eastAsia="Calibri" w:hAnsi="Calibri" w:cs="Calibri"/>
        </w:rPr>
      </w:pPr>
    </w:p>
    <w:p w14:paraId="6A2FCC8E" w14:textId="575B432B" w:rsidR="00EF5FEA" w:rsidRDefault="00062433" w:rsidP="00062433">
      <w:pPr>
        <w:spacing w:after="120" w:line="240" w:lineRule="auto"/>
        <w:ind w:left="0"/>
        <w:contextualSpacing/>
        <w:rPr>
          <w:rFonts w:ascii="Calibri" w:eastAsia="Calibri" w:hAnsi="Calibri" w:cs="Calibri"/>
        </w:rPr>
      </w:pPr>
      <w:r>
        <w:rPr>
          <w:rFonts w:ascii="Calibri" w:eastAsia="Calibri" w:hAnsi="Calibri" w:cs="Calibri"/>
        </w:rPr>
        <w:t>Algunos autores piensan que su uso era calendárico, siendo el fruto de minuciosas observaciones astronómicas, de tal manera que ca</w:t>
      </w:r>
      <w:r>
        <w:rPr>
          <w:rFonts w:ascii="Calibri" w:eastAsia="Calibri" w:hAnsi="Calibri" w:cs="Calibri"/>
        </w:rPr>
        <w:t>da una de las figuras animales simbolizara un signo del zodiaco. Desgraciadamente, la falta de información impide confirmar con seguridad esta hipótesis.</w:t>
      </w:r>
    </w:p>
    <w:p w14:paraId="632CAA07" w14:textId="77777777" w:rsidR="00062433" w:rsidRDefault="00062433" w:rsidP="00062433">
      <w:pPr>
        <w:spacing w:after="120" w:line="240" w:lineRule="auto"/>
        <w:ind w:left="0"/>
        <w:contextualSpacing/>
        <w:rPr>
          <w:rFonts w:ascii="Calibri" w:eastAsia="Calibri" w:hAnsi="Calibri" w:cs="Calibri"/>
        </w:rPr>
      </w:pPr>
    </w:p>
    <w:p w14:paraId="46C74D3C" w14:textId="77777777" w:rsidR="00EF5FEA" w:rsidRDefault="00EF5FEA" w:rsidP="00062433">
      <w:pPr>
        <w:spacing w:after="120" w:line="240" w:lineRule="auto"/>
        <w:ind w:left="0" w:firstLine="0"/>
        <w:contextualSpacing/>
        <w:rPr>
          <w:rFonts w:ascii="Calibri" w:eastAsia="Calibri" w:hAnsi="Calibri" w:cs="Calibri"/>
        </w:rPr>
      </w:pPr>
    </w:p>
    <w:p w14:paraId="66EAD4FB" w14:textId="77777777" w:rsidR="00EF5FEA" w:rsidRPr="00062433" w:rsidRDefault="00062433" w:rsidP="00062433">
      <w:pPr>
        <w:spacing w:after="120" w:line="240" w:lineRule="auto"/>
        <w:ind w:left="0" w:firstLine="0"/>
        <w:contextualSpacing/>
        <w:rPr>
          <w:rFonts w:ascii="Calibri" w:eastAsia="Calibri" w:hAnsi="Calibri" w:cs="Calibri"/>
          <w:sz w:val="20"/>
          <w:szCs w:val="20"/>
          <w:lang w:val="en-US"/>
        </w:rPr>
      </w:pPr>
      <w:bookmarkStart w:id="0" w:name="_heading=h.gjdgxs" w:colFirst="0" w:colLast="0"/>
      <w:bookmarkEnd w:id="0"/>
      <w:r w:rsidRPr="00062433">
        <w:rPr>
          <w:rFonts w:ascii="Calibri" w:eastAsia="Calibri" w:hAnsi="Calibri" w:cs="Calibri"/>
          <w:sz w:val="20"/>
          <w:szCs w:val="20"/>
          <w:lang w:val="en-US"/>
        </w:rPr>
        <w:t xml:space="preserve">This work is licensed under a </w:t>
      </w:r>
      <w:r w:rsidRPr="00062433">
        <w:rPr>
          <w:rFonts w:ascii="Calibri" w:eastAsia="Calibri" w:hAnsi="Calibri" w:cs="Calibri"/>
          <w:sz w:val="20"/>
          <w:szCs w:val="20"/>
          <w:lang w:val="en-US"/>
        </w:rPr>
        <w:br/>
      </w:r>
      <w:hyperlink r:id="rId5">
        <w:r w:rsidRPr="00062433">
          <w:rPr>
            <w:rFonts w:ascii="Calibri" w:eastAsia="Calibri" w:hAnsi="Calibri" w:cs="Calibri"/>
            <w:color w:val="1155CC"/>
            <w:sz w:val="20"/>
            <w:szCs w:val="20"/>
            <w:u w:val="single"/>
            <w:lang w:val="en-US"/>
          </w:rPr>
          <w:t>Cre</w:t>
        </w:r>
        <w:r w:rsidRPr="00062433">
          <w:rPr>
            <w:rFonts w:ascii="Calibri" w:eastAsia="Calibri" w:hAnsi="Calibri" w:cs="Calibri"/>
            <w:color w:val="1155CC"/>
            <w:sz w:val="20"/>
            <w:szCs w:val="20"/>
            <w:u w:val="single"/>
            <w:lang w:val="en-US"/>
          </w:rPr>
          <w:t>ative Commons Attribution-</w:t>
        </w:r>
        <w:proofErr w:type="spellStart"/>
        <w:r w:rsidRPr="00062433">
          <w:rPr>
            <w:rFonts w:ascii="Calibri" w:eastAsia="Calibri" w:hAnsi="Calibri" w:cs="Calibri"/>
            <w:color w:val="1155CC"/>
            <w:sz w:val="20"/>
            <w:szCs w:val="20"/>
            <w:u w:val="single"/>
            <w:lang w:val="en-US"/>
          </w:rPr>
          <w:t>NonCommercial</w:t>
        </w:r>
        <w:proofErr w:type="spellEnd"/>
        <w:r w:rsidRPr="00062433">
          <w:rPr>
            <w:rFonts w:ascii="Calibri" w:eastAsia="Calibri" w:hAnsi="Calibri" w:cs="Calibri"/>
            <w:color w:val="1155CC"/>
            <w:sz w:val="20"/>
            <w:szCs w:val="20"/>
            <w:u w:val="single"/>
            <w:lang w:val="en-US"/>
          </w:rPr>
          <w:t xml:space="preserve"> 4.0 International License</w:t>
        </w:r>
      </w:hyperlink>
      <w:r w:rsidRPr="00062433">
        <w:rPr>
          <w:rFonts w:ascii="Calibri" w:eastAsia="Calibri" w:hAnsi="Calibri" w:cs="Calibri"/>
          <w:sz w:val="20"/>
          <w:szCs w:val="20"/>
          <w:lang w:val="en-US"/>
        </w:rPr>
        <w:t>.</w:t>
      </w:r>
      <w:r w:rsidRPr="00062433">
        <w:rPr>
          <w:noProof/>
          <w:sz w:val="20"/>
          <w:szCs w:val="20"/>
          <w:lang w:val="en-US"/>
        </w:rPr>
        <w:drawing>
          <wp:anchor distT="0" distB="0" distL="114300" distR="114300" simplePos="0" relativeHeight="251658240" behindDoc="0" locked="0" layoutInCell="1" hidden="0" allowOverlap="1" wp14:anchorId="59F98762" wp14:editId="54CBB183">
            <wp:simplePos x="0" y="0"/>
            <wp:positionH relativeFrom="column">
              <wp:posOffset>-9426</wp:posOffset>
            </wp:positionH>
            <wp:positionV relativeFrom="paragraph">
              <wp:posOffset>-2458</wp:posOffset>
            </wp:positionV>
            <wp:extent cx="838200" cy="295275"/>
            <wp:effectExtent l="0" t="0" r="0" b="0"/>
            <wp:wrapSquare wrapText="bothSides" distT="0" distB="0" distL="114300" distR="114300"/>
            <wp:docPr id="83"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6"/>
                    <a:srcRect/>
                    <a:stretch>
                      <a:fillRect/>
                    </a:stretch>
                  </pic:blipFill>
                  <pic:spPr>
                    <a:xfrm>
                      <a:off x="0" y="0"/>
                      <a:ext cx="838200" cy="295275"/>
                    </a:xfrm>
                    <a:prstGeom prst="rect">
                      <a:avLst/>
                    </a:prstGeom>
                    <a:ln/>
                  </pic:spPr>
                </pic:pic>
              </a:graphicData>
            </a:graphic>
          </wp:anchor>
        </w:drawing>
      </w:r>
    </w:p>
    <w:sectPr w:rsidR="00EF5FEA" w:rsidRPr="00062433">
      <w:pgSz w:w="12240" w:h="15840"/>
      <w:pgMar w:top="1440" w:right="1469"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EA"/>
    <w:rsid w:val="00062433"/>
    <w:rsid w:val="00EF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042C"/>
  <w15:docId w15:val="{B972DF1B-6DEE-429C-9565-9C6185F9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US" w:eastAsia="en-US" w:bidi="ar-SA"/>
      </w:rPr>
    </w:rPrDefault>
    <w:pPrDefault>
      <w:pPr>
        <w:spacing w:after="210" w:line="266"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hanging="10"/>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text-muted">
    <w:name w:val="text-muted"/>
    <w:basedOn w:val="DefaultParagraphFont"/>
    <w:rsid w:val="009E6F15"/>
  </w:style>
  <w:style w:type="character" w:styleId="Hyperlink">
    <w:name w:val="Hyperlink"/>
    <w:basedOn w:val="DefaultParagraphFont"/>
    <w:uiPriority w:val="99"/>
    <w:semiHidden/>
    <w:unhideWhenUsed/>
    <w:rsid w:val="009E6F15"/>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KuHDL9PWP/la4Dwb14AZHf3nwA==">AMUW2mUuE8apWYyT/5/dfKcmAiwolwREQ9tOo3qNQ30omcASugQqV4W4eASNsL6rSStpLRXZCDmJCZ0Hn2XKLK/RK53dcc9O537corGpdMVNyiaKyfd8YjxwrJkeDDYalfeKuHPTlaZA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egarc</dc:creator>
  <cp:lastModifiedBy>Cunningham, Keah M</cp:lastModifiedBy>
  <cp:revision>2</cp:revision>
  <dcterms:created xsi:type="dcterms:W3CDTF">2019-10-30T13:36:00Z</dcterms:created>
  <dcterms:modified xsi:type="dcterms:W3CDTF">2021-05-05T21:19:00Z</dcterms:modified>
</cp:coreProperties>
</file>